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FF" w:rsidRPr="009C06D3" w:rsidRDefault="009866FF" w:rsidP="009866FF">
      <w:pPr>
        <w:spacing w:after="0" w:line="240" w:lineRule="auto"/>
        <w:jc w:val="center"/>
        <w:rPr>
          <w:rFonts w:ascii="Times New Roman" w:hAnsi="Times New Roman" w:cs="Times New Roman"/>
          <w:b/>
          <w:sz w:val="24"/>
          <w:szCs w:val="24"/>
        </w:rPr>
      </w:pPr>
      <w:r w:rsidRPr="009C06D3">
        <w:rPr>
          <w:rFonts w:ascii="Times New Roman" w:hAnsi="Times New Roman" w:cs="Times New Roman"/>
          <w:b/>
          <w:sz w:val="24"/>
          <w:szCs w:val="24"/>
        </w:rPr>
        <w:t>OFICIO N° 028935</w:t>
      </w:r>
    </w:p>
    <w:p w:rsidR="009866FF" w:rsidRPr="009C06D3" w:rsidRDefault="009866FF" w:rsidP="009866FF">
      <w:pPr>
        <w:spacing w:after="0" w:line="240" w:lineRule="auto"/>
        <w:jc w:val="center"/>
        <w:rPr>
          <w:rFonts w:ascii="Times New Roman" w:hAnsi="Times New Roman" w:cs="Times New Roman"/>
          <w:b/>
          <w:sz w:val="24"/>
          <w:szCs w:val="24"/>
        </w:rPr>
      </w:pPr>
    </w:p>
    <w:p w:rsidR="009866FF" w:rsidRPr="009C06D3" w:rsidRDefault="009866FF" w:rsidP="009866FF">
      <w:pPr>
        <w:spacing w:after="0" w:line="240" w:lineRule="auto"/>
        <w:jc w:val="center"/>
        <w:rPr>
          <w:rFonts w:ascii="Times New Roman" w:hAnsi="Times New Roman" w:cs="Times New Roman"/>
          <w:b/>
          <w:sz w:val="24"/>
          <w:szCs w:val="24"/>
        </w:rPr>
      </w:pPr>
      <w:r w:rsidRPr="009C06D3">
        <w:rPr>
          <w:rFonts w:ascii="Times New Roman" w:hAnsi="Times New Roman" w:cs="Times New Roman"/>
          <w:b/>
          <w:sz w:val="24"/>
          <w:szCs w:val="24"/>
        </w:rPr>
        <w:t>15-05-2013</w:t>
      </w:r>
    </w:p>
    <w:p w:rsidR="009866FF" w:rsidRPr="009C06D3" w:rsidRDefault="009866FF" w:rsidP="009866FF">
      <w:pPr>
        <w:spacing w:after="0" w:line="240" w:lineRule="auto"/>
        <w:jc w:val="center"/>
        <w:rPr>
          <w:rFonts w:ascii="Times New Roman" w:hAnsi="Times New Roman" w:cs="Times New Roman"/>
          <w:b/>
          <w:sz w:val="24"/>
          <w:szCs w:val="24"/>
        </w:rPr>
      </w:pPr>
    </w:p>
    <w:p w:rsidR="009866FF" w:rsidRPr="009C06D3" w:rsidRDefault="009866FF" w:rsidP="009866FF">
      <w:pPr>
        <w:spacing w:after="0" w:line="240" w:lineRule="auto"/>
        <w:jc w:val="center"/>
        <w:rPr>
          <w:rFonts w:ascii="Times New Roman" w:hAnsi="Times New Roman" w:cs="Times New Roman"/>
          <w:b/>
          <w:sz w:val="24"/>
          <w:szCs w:val="24"/>
        </w:rPr>
      </w:pPr>
      <w:r w:rsidRPr="009C06D3">
        <w:rPr>
          <w:rFonts w:ascii="Times New Roman" w:hAnsi="Times New Roman" w:cs="Times New Roman"/>
          <w:b/>
          <w:sz w:val="24"/>
          <w:szCs w:val="24"/>
        </w:rPr>
        <w:t>DIAN</w:t>
      </w:r>
    </w:p>
    <w:p w:rsidR="00615FD8" w:rsidRPr="009C06D3" w:rsidRDefault="00615FD8" w:rsidP="009866FF">
      <w:pPr>
        <w:spacing w:after="0" w:line="240" w:lineRule="auto"/>
        <w:jc w:val="both"/>
        <w:rPr>
          <w:rFonts w:ascii="Times New Roman" w:hAnsi="Times New Roman" w:cs="Times New Roman"/>
          <w:b/>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Doctora</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MARIBEL LÓPEZ PEÑA</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Representante Legal</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Consultores y Auditores Asociados</w:t>
      </w:r>
    </w:p>
    <w:p w:rsidR="009866FF" w:rsidRPr="009C06D3" w:rsidRDefault="009866FF" w:rsidP="009866FF">
      <w:pPr>
        <w:spacing w:after="0" w:line="240" w:lineRule="auto"/>
        <w:jc w:val="both"/>
        <w:rPr>
          <w:rFonts w:ascii="Times New Roman" w:hAnsi="Times New Roman" w:cs="Times New Roman"/>
          <w:sz w:val="24"/>
          <w:szCs w:val="24"/>
        </w:rPr>
      </w:pPr>
      <w:proofErr w:type="spellStart"/>
      <w:r w:rsidRPr="009C06D3">
        <w:rPr>
          <w:rFonts w:ascii="Times New Roman" w:hAnsi="Times New Roman" w:cs="Times New Roman"/>
          <w:sz w:val="24"/>
          <w:szCs w:val="24"/>
        </w:rPr>
        <w:t>Contadcol</w:t>
      </w:r>
      <w:proofErr w:type="spellEnd"/>
      <w:r w:rsidRPr="009C06D3">
        <w:rPr>
          <w:rFonts w:ascii="Times New Roman" w:hAnsi="Times New Roman" w:cs="Times New Roman"/>
          <w:sz w:val="24"/>
          <w:szCs w:val="24"/>
        </w:rPr>
        <w:t xml:space="preserve"> Ltda.</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Carrera 8 N° 38-33 Oficina 606</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Bogotá, D. C.</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Referencia: Radicado 29894 del 08/05/2013</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Cordial saludo, doctora Maribel:</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De conformidad con el artículo 19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Consulta ¿cuál es la tarifa de retención en la fuente aplicable a las personas naturales, que clasifican en la categoría de empleados y que desarrollan las actividades descritas en los Decretos 2499 de 2012 y 1141 de 2010, los cuales no fueron derogados por la Ley 1607 de 2012?</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Comedidamente le informamos que este Despacho se pronunció al respecto mediante los Oficios número 017857 del 26 de marzo y 024057 del 24 de abril de 2012, cuya fotocopia remitimos para su ilustración.</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Cabe anotar que los decretos a que alude su consulta, son disposiciones reglamentarias del artículo 392 del Estatuto Tributario, al que hace referencia el parágrafo 3° del artículo 1° del Decreto número 0099 de 2013.</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En los anteriores términos se responde, corrigiendo error en el número del decreto citado en la pregunta en el Oficio número 100202208-635 radicado bajo el número 028603 del 14 de mayo de 2013.</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Atentamente,</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La Directora de Gestión Jurídica,</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Isabel Cristina Garcés Sánchez.</w:t>
      </w:r>
    </w:p>
    <w:p w:rsidR="009866FF" w:rsidRPr="009C06D3" w:rsidRDefault="009866FF" w:rsidP="009866FF">
      <w:pPr>
        <w:spacing w:after="0" w:line="240" w:lineRule="auto"/>
        <w:jc w:val="both"/>
        <w:rPr>
          <w:rFonts w:ascii="Times New Roman" w:hAnsi="Times New Roman" w:cs="Times New Roman"/>
          <w:sz w:val="24"/>
          <w:szCs w:val="24"/>
        </w:rPr>
      </w:pPr>
      <w:bookmarkStart w:id="0" w:name="_GoBack"/>
      <w:bookmarkEnd w:id="0"/>
      <w:r w:rsidRPr="009C06D3">
        <w:rPr>
          <w:rFonts w:ascii="Times New Roman" w:hAnsi="Times New Roman" w:cs="Times New Roman"/>
          <w:sz w:val="24"/>
          <w:szCs w:val="24"/>
        </w:rPr>
        <w:t>Anexo: Oficios 017857 y 024057 de 2013.</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_________________________________________________</w:t>
      </w:r>
      <w:r w:rsidR="00A94C36">
        <w:rPr>
          <w:rFonts w:ascii="Times New Roman" w:hAnsi="Times New Roman" w:cs="Times New Roman"/>
          <w:sz w:val="24"/>
          <w:szCs w:val="24"/>
        </w:rPr>
        <w:t>_______________________</w:t>
      </w:r>
    </w:p>
    <w:p w:rsidR="009866FF" w:rsidRPr="009C06D3" w:rsidRDefault="009866FF" w:rsidP="009866FF">
      <w:pPr>
        <w:spacing w:after="0" w:line="240" w:lineRule="auto"/>
        <w:jc w:val="both"/>
        <w:rPr>
          <w:rFonts w:ascii="Times New Roman" w:hAnsi="Times New Roman" w:cs="Times New Roman"/>
          <w:sz w:val="24"/>
          <w:szCs w:val="24"/>
        </w:rPr>
      </w:pP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 xml:space="preserve"> </w:t>
      </w:r>
    </w:p>
    <w:p w:rsidR="009866FF" w:rsidRPr="009C06D3" w:rsidRDefault="009866FF" w:rsidP="009866FF">
      <w:pPr>
        <w:spacing w:after="0" w:line="240" w:lineRule="auto"/>
        <w:jc w:val="both"/>
        <w:rPr>
          <w:rFonts w:ascii="Times New Roman" w:hAnsi="Times New Roman" w:cs="Times New Roman"/>
          <w:sz w:val="24"/>
          <w:szCs w:val="24"/>
        </w:rPr>
      </w:pPr>
      <w:r w:rsidRPr="009C06D3">
        <w:rPr>
          <w:rFonts w:ascii="Times New Roman" w:hAnsi="Times New Roman" w:cs="Times New Roman"/>
          <w:sz w:val="24"/>
          <w:szCs w:val="24"/>
        </w:rPr>
        <w:t xml:space="preserve"> </w:t>
      </w:r>
    </w:p>
    <w:p w:rsidR="005B40EF" w:rsidRPr="009C06D3" w:rsidRDefault="005B40EF" w:rsidP="005B40EF">
      <w:pPr>
        <w:spacing w:after="0" w:line="240" w:lineRule="auto"/>
        <w:jc w:val="center"/>
        <w:rPr>
          <w:rFonts w:ascii="Times New Roman" w:eastAsia="Times New Roman" w:hAnsi="Times New Roman" w:cs="Times New Roman"/>
          <w:b/>
          <w:color w:val="0000FF"/>
          <w:sz w:val="24"/>
          <w:szCs w:val="24"/>
          <w:lang w:eastAsia="es-CO"/>
        </w:rPr>
      </w:pPr>
      <w:r w:rsidRPr="009C06D3">
        <w:rPr>
          <w:rFonts w:ascii="Times New Roman" w:eastAsia="Times New Roman" w:hAnsi="Times New Roman" w:cs="Times New Roman"/>
          <w:b/>
          <w:bCs/>
          <w:color w:val="0000FF"/>
          <w:sz w:val="24"/>
          <w:szCs w:val="24"/>
          <w:lang w:eastAsia="es-CO"/>
        </w:rPr>
        <w:t>OFICIO N° 024057</w:t>
      </w:r>
    </w:p>
    <w:p w:rsidR="005B40EF" w:rsidRPr="009C06D3" w:rsidRDefault="005B40EF" w:rsidP="005B40EF">
      <w:pPr>
        <w:spacing w:after="0" w:line="240" w:lineRule="auto"/>
        <w:jc w:val="center"/>
        <w:rPr>
          <w:rFonts w:ascii="Times New Roman" w:eastAsia="Times New Roman" w:hAnsi="Times New Roman" w:cs="Times New Roman"/>
          <w:b/>
          <w:color w:val="0000FF"/>
          <w:sz w:val="24"/>
          <w:szCs w:val="24"/>
          <w:lang w:eastAsia="es-CO"/>
        </w:rPr>
      </w:pPr>
      <w:r w:rsidRPr="009C06D3">
        <w:rPr>
          <w:rFonts w:ascii="Times New Roman" w:eastAsia="Times New Roman" w:hAnsi="Times New Roman" w:cs="Times New Roman"/>
          <w:b/>
          <w:color w:val="0000FF"/>
          <w:sz w:val="24"/>
          <w:szCs w:val="24"/>
          <w:lang w:eastAsia="es-CO"/>
        </w:rPr>
        <w:t>24-04-2013</w:t>
      </w:r>
    </w:p>
    <w:p w:rsidR="005B40EF" w:rsidRPr="009C06D3" w:rsidRDefault="005B40EF" w:rsidP="005B40EF">
      <w:pPr>
        <w:spacing w:after="0" w:line="240" w:lineRule="auto"/>
        <w:jc w:val="center"/>
        <w:rPr>
          <w:rFonts w:ascii="Times New Roman" w:eastAsia="Times New Roman" w:hAnsi="Times New Roman" w:cs="Times New Roman"/>
          <w:b/>
          <w:color w:val="0000FF"/>
          <w:sz w:val="24"/>
          <w:szCs w:val="24"/>
          <w:lang w:eastAsia="es-CO"/>
        </w:rPr>
      </w:pPr>
      <w:r w:rsidRPr="009C06D3">
        <w:rPr>
          <w:rFonts w:ascii="Times New Roman" w:eastAsia="Times New Roman" w:hAnsi="Times New Roman" w:cs="Times New Roman"/>
          <w:b/>
          <w:color w:val="0000FF"/>
          <w:sz w:val="24"/>
          <w:szCs w:val="24"/>
          <w:lang w:eastAsia="es-CO"/>
        </w:rPr>
        <w:t>DIAN</w:t>
      </w:r>
    </w:p>
    <w:p w:rsidR="005B40EF" w:rsidRPr="009C06D3" w:rsidRDefault="005B40EF" w:rsidP="005B40EF">
      <w:pPr>
        <w:spacing w:after="0" w:line="240" w:lineRule="auto"/>
        <w:jc w:val="both"/>
        <w:rPr>
          <w:rFonts w:ascii="Times New Roman" w:eastAsia="Times New Roman" w:hAnsi="Times New Roman" w:cs="Times New Roman"/>
          <w:b/>
          <w:color w:val="0000FF"/>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b/>
          <w:color w:val="0000FF"/>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Dirección de Gestión Jurídica</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Bogotá, D. C.</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100202208-521</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Doctora</w:t>
      </w:r>
    </w:p>
    <w:p w:rsidR="005B40EF" w:rsidRPr="009C06D3" w:rsidRDefault="005B40EF" w:rsidP="005B40EF">
      <w:pPr>
        <w:spacing w:after="0" w:line="240" w:lineRule="auto"/>
        <w:jc w:val="both"/>
        <w:rPr>
          <w:rFonts w:ascii="Times New Roman" w:eastAsia="Times New Roman" w:hAnsi="Times New Roman" w:cs="Times New Roman"/>
          <w:b/>
          <w:sz w:val="24"/>
          <w:szCs w:val="24"/>
          <w:lang w:eastAsia="es-CO"/>
        </w:rPr>
      </w:pPr>
      <w:r w:rsidRPr="009C06D3">
        <w:rPr>
          <w:rFonts w:ascii="Times New Roman" w:eastAsia="Times New Roman" w:hAnsi="Times New Roman" w:cs="Times New Roman"/>
          <w:b/>
          <w:sz w:val="24"/>
          <w:szCs w:val="24"/>
          <w:lang w:eastAsia="es-CO"/>
        </w:rPr>
        <w:t>LIZA MINELLY BOTELLO PAYARES</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Jefe Coordinación de Contabilidad General Subdirección de Gestión de Recursos Financieros</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Dirección de Gestión de Recursos y Administración Económica</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Carrera 7a N° 6-54 piso 8°.</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Bogotá, D. C.</w:t>
      </w:r>
    </w:p>
    <w:p w:rsidR="005B40EF" w:rsidRPr="009C06D3" w:rsidRDefault="005B40EF" w:rsidP="005B40EF">
      <w:pPr>
        <w:spacing w:after="0" w:line="240" w:lineRule="auto"/>
        <w:jc w:val="both"/>
        <w:rPr>
          <w:rFonts w:ascii="Times New Roman" w:eastAsia="Times New Roman" w:hAnsi="Times New Roman" w:cs="Times New Roman"/>
          <w:b/>
          <w:bCs/>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b/>
          <w:bCs/>
          <w:sz w:val="24"/>
          <w:szCs w:val="24"/>
          <w:lang w:eastAsia="es-CO"/>
        </w:rPr>
        <w:t xml:space="preserve">Referencia: </w:t>
      </w:r>
      <w:r w:rsidRPr="009C06D3">
        <w:rPr>
          <w:rFonts w:ascii="Times New Roman" w:eastAsia="Times New Roman" w:hAnsi="Times New Roman" w:cs="Times New Roman"/>
          <w:sz w:val="24"/>
          <w:szCs w:val="24"/>
          <w:lang w:eastAsia="es-CO"/>
        </w:rPr>
        <w:t>Radicado 0506 del 23/04/2013</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b/>
          <w:sz w:val="24"/>
          <w:szCs w:val="24"/>
          <w:lang w:eastAsia="es-CO"/>
        </w:rPr>
        <w:t>Tema</w:t>
      </w:r>
      <w:r w:rsidRPr="009C06D3">
        <w:rPr>
          <w:rFonts w:ascii="Times New Roman" w:eastAsia="Times New Roman" w:hAnsi="Times New Roman" w:cs="Times New Roman"/>
          <w:sz w:val="24"/>
          <w:szCs w:val="24"/>
          <w:lang w:eastAsia="es-CO"/>
        </w:rPr>
        <w:t xml:space="preserve"> Retención en la fuente</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roofErr w:type="gramStart"/>
      <w:r w:rsidRPr="009C06D3">
        <w:rPr>
          <w:rFonts w:ascii="Times New Roman" w:eastAsia="Times New Roman" w:hAnsi="Times New Roman" w:cs="Times New Roman"/>
          <w:b/>
          <w:sz w:val="24"/>
          <w:szCs w:val="24"/>
          <w:lang w:eastAsia="es-CO"/>
        </w:rPr>
        <w:t>Descriptor</w:t>
      </w:r>
      <w:r w:rsidRPr="009C06D3">
        <w:rPr>
          <w:rFonts w:ascii="Times New Roman" w:eastAsia="Times New Roman" w:hAnsi="Times New Roman" w:cs="Times New Roman"/>
          <w:sz w:val="24"/>
          <w:szCs w:val="24"/>
          <w:lang w:eastAsia="es-CO"/>
        </w:rPr>
        <w:t xml:space="preserve"> Retención en la fuente por rentas de trabajo - empleados</w:t>
      </w:r>
      <w:proofErr w:type="gramEnd"/>
    </w:p>
    <w:p w:rsidR="005B40EF" w:rsidRPr="009C06D3" w:rsidRDefault="005B40EF" w:rsidP="005B40EF">
      <w:pPr>
        <w:spacing w:after="0" w:line="240" w:lineRule="auto"/>
        <w:jc w:val="both"/>
        <w:rPr>
          <w:rFonts w:ascii="Times New Roman" w:eastAsia="Times New Roman" w:hAnsi="Times New Roman" w:cs="Times New Roman"/>
          <w:color w:val="0089E1"/>
          <w:sz w:val="24"/>
          <w:szCs w:val="24"/>
          <w:lang w:eastAsia="es-CO"/>
        </w:rPr>
      </w:pPr>
      <w:r w:rsidRPr="009C06D3">
        <w:rPr>
          <w:rFonts w:ascii="Times New Roman" w:eastAsia="Times New Roman" w:hAnsi="Times New Roman" w:cs="Times New Roman"/>
          <w:b/>
          <w:sz w:val="24"/>
          <w:szCs w:val="24"/>
          <w:lang w:eastAsia="es-CO"/>
        </w:rPr>
        <w:t>Fuentes</w:t>
      </w:r>
      <w:r w:rsidRPr="009C06D3">
        <w:rPr>
          <w:rFonts w:ascii="Times New Roman" w:eastAsia="Times New Roman" w:hAnsi="Times New Roman" w:cs="Times New Roman"/>
          <w:sz w:val="24"/>
          <w:szCs w:val="24"/>
          <w:lang w:eastAsia="es-CO"/>
        </w:rPr>
        <w:t xml:space="preserve"> </w:t>
      </w:r>
      <w:r w:rsidRPr="009C06D3">
        <w:rPr>
          <w:rFonts w:ascii="Times New Roman" w:eastAsia="Times New Roman" w:hAnsi="Times New Roman" w:cs="Times New Roman"/>
          <w:b/>
          <w:sz w:val="24"/>
          <w:szCs w:val="24"/>
          <w:lang w:eastAsia="es-CO"/>
        </w:rPr>
        <w:t>formales</w:t>
      </w:r>
      <w:r w:rsidRPr="009C06D3">
        <w:rPr>
          <w:rFonts w:ascii="Times New Roman" w:eastAsia="Times New Roman" w:hAnsi="Times New Roman" w:cs="Times New Roman"/>
          <w:sz w:val="24"/>
          <w:szCs w:val="24"/>
          <w:lang w:eastAsia="es-CO"/>
        </w:rPr>
        <w:t xml:space="preserve"> Estatuto Tributario, artículos </w:t>
      </w:r>
      <w:hyperlink r:id="rId5" w:tooltip="Estatuto Tributario CETA" w:history="1">
        <w:r w:rsidRPr="009C06D3">
          <w:rPr>
            <w:rFonts w:ascii="Times New Roman" w:eastAsia="Times New Roman" w:hAnsi="Times New Roman" w:cs="Times New Roman"/>
            <w:color w:val="0089E1"/>
            <w:sz w:val="24"/>
            <w:szCs w:val="24"/>
            <w:lang w:eastAsia="es-CO"/>
          </w:rPr>
          <w:t>126-1</w:t>
        </w:r>
      </w:hyperlink>
      <w:r w:rsidRPr="009C06D3">
        <w:rPr>
          <w:rFonts w:ascii="Times New Roman" w:eastAsia="Times New Roman" w:hAnsi="Times New Roman" w:cs="Times New Roman"/>
          <w:sz w:val="24"/>
          <w:szCs w:val="24"/>
          <w:lang w:eastAsia="es-CO"/>
        </w:rPr>
        <w:t xml:space="preserve">, </w:t>
      </w:r>
      <w:hyperlink r:id="rId6" w:tooltip="Estatuto Tributario CETA" w:history="1">
        <w:r w:rsidRPr="009C06D3">
          <w:rPr>
            <w:rFonts w:ascii="Times New Roman" w:eastAsia="Times New Roman" w:hAnsi="Times New Roman" w:cs="Times New Roman"/>
            <w:color w:val="0089E1"/>
            <w:sz w:val="24"/>
            <w:szCs w:val="24"/>
            <w:lang w:eastAsia="es-CO"/>
          </w:rPr>
          <w:t>126-4</w:t>
        </w:r>
      </w:hyperlink>
      <w:r w:rsidRPr="009C06D3">
        <w:rPr>
          <w:rFonts w:ascii="Times New Roman" w:eastAsia="Times New Roman" w:hAnsi="Times New Roman" w:cs="Times New Roman"/>
          <w:sz w:val="24"/>
          <w:szCs w:val="24"/>
          <w:lang w:eastAsia="es-CO"/>
        </w:rPr>
        <w:t xml:space="preserve">, </w:t>
      </w:r>
      <w:hyperlink r:id="rId7" w:tooltip="Estatuto Tributario CETA" w:history="1">
        <w:r w:rsidRPr="009C06D3">
          <w:rPr>
            <w:rFonts w:ascii="Times New Roman" w:eastAsia="Times New Roman" w:hAnsi="Times New Roman" w:cs="Times New Roman"/>
            <w:color w:val="0089E1"/>
            <w:sz w:val="24"/>
            <w:szCs w:val="24"/>
            <w:lang w:eastAsia="es-CO"/>
          </w:rPr>
          <w:t>329</w:t>
        </w:r>
      </w:hyperlink>
      <w:r w:rsidRPr="009C06D3">
        <w:rPr>
          <w:rFonts w:ascii="Times New Roman" w:eastAsia="Times New Roman" w:hAnsi="Times New Roman" w:cs="Times New Roman"/>
          <w:sz w:val="24"/>
          <w:szCs w:val="24"/>
          <w:lang w:eastAsia="es-CO"/>
        </w:rPr>
        <w:t xml:space="preserve">, </w:t>
      </w:r>
      <w:hyperlink r:id="rId8" w:tooltip="Estatuto Tributario CETA" w:history="1">
        <w:r w:rsidRPr="009C06D3">
          <w:rPr>
            <w:rFonts w:ascii="Times New Roman" w:eastAsia="Times New Roman" w:hAnsi="Times New Roman" w:cs="Times New Roman"/>
            <w:color w:val="0089E1"/>
            <w:sz w:val="24"/>
            <w:szCs w:val="24"/>
            <w:lang w:eastAsia="es-CO"/>
          </w:rPr>
          <w:t>383</w:t>
        </w:r>
      </w:hyperlink>
      <w:r w:rsidRPr="009C06D3">
        <w:rPr>
          <w:rFonts w:ascii="Times New Roman" w:eastAsia="Times New Roman" w:hAnsi="Times New Roman" w:cs="Times New Roman"/>
          <w:sz w:val="24"/>
          <w:szCs w:val="24"/>
          <w:lang w:eastAsia="es-CO"/>
        </w:rPr>
        <w:t xml:space="preserve">, </w:t>
      </w:r>
      <w:hyperlink r:id="rId9" w:tooltip="Estatuto Tributario CETA" w:history="1">
        <w:r w:rsidRPr="009C06D3">
          <w:rPr>
            <w:rFonts w:ascii="Times New Roman" w:eastAsia="Times New Roman" w:hAnsi="Times New Roman" w:cs="Times New Roman"/>
            <w:color w:val="0089E1"/>
            <w:sz w:val="24"/>
            <w:szCs w:val="24"/>
            <w:lang w:eastAsia="es-CO"/>
          </w:rPr>
          <w:t>384</w:t>
        </w:r>
      </w:hyperlink>
      <w:r w:rsidRPr="009C06D3">
        <w:rPr>
          <w:rFonts w:ascii="Times New Roman" w:eastAsia="Times New Roman" w:hAnsi="Times New Roman" w:cs="Times New Roman"/>
          <w:sz w:val="24"/>
          <w:szCs w:val="24"/>
          <w:lang w:eastAsia="es-CO"/>
        </w:rPr>
        <w:t xml:space="preserve"> y </w:t>
      </w:r>
      <w:hyperlink r:id="rId10" w:tooltip="Estatuto Tributario CETA" w:history="1">
        <w:r w:rsidRPr="009C06D3">
          <w:rPr>
            <w:rFonts w:ascii="Times New Roman" w:eastAsia="Times New Roman" w:hAnsi="Times New Roman" w:cs="Times New Roman"/>
            <w:color w:val="0089E1"/>
            <w:sz w:val="24"/>
            <w:szCs w:val="24"/>
            <w:lang w:eastAsia="es-CO"/>
          </w:rPr>
          <w:t>387</w:t>
        </w:r>
      </w:hyperlink>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Decreto Reglamentario 260 de 2001</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Decreto Reglamentario 2271 de 2009, artículo 4°</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Decreto Reglamentario 2499 de 2012</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Decreto Reglamentario 0099 de 2013</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Cordial saludo doctora Liza </w:t>
      </w:r>
      <w:proofErr w:type="spellStart"/>
      <w:r w:rsidRPr="009C06D3">
        <w:rPr>
          <w:rFonts w:ascii="Times New Roman" w:eastAsia="Times New Roman" w:hAnsi="Times New Roman" w:cs="Times New Roman"/>
          <w:sz w:val="24"/>
          <w:szCs w:val="24"/>
          <w:lang w:eastAsia="es-CO"/>
        </w:rPr>
        <w:t>Minelly</w:t>
      </w:r>
      <w:proofErr w:type="spellEnd"/>
      <w:r w:rsidRPr="009C06D3">
        <w:rPr>
          <w:rFonts w:ascii="Times New Roman" w:eastAsia="Times New Roman" w:hAnsi="Times New Roman" w:cs="Times New Roman"/>
          <w:sz w:val="24"/>
          <w:szCs w:val="24"/>
          <w:lang w:eastAsia="es-CO"/>
        </w:rPr>
        <w:t>.</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 conformidad con lo dispuesto en el artículo 19 del Decreto 4048 de 2008 y la Orden Administrativa número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Consulta si a los contratistas declarantes de renta que prestan servicios personales en el desarrollo e implementación de software, que clasifican en la categoría de empleados se les continúa aplicando la tarifa de retención en la fuente prevista en el artículo 1° del Decreto 2499 de 2012.</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Comedidamente le informamos, que este Despacho se pronunció mediante Oficio número 017857 del 26 de marzo de 2013, sobre las categorías tributarias en que se clasifican las personas naturales residentes en el país y sobre el régimen de retención en la fuente </w:t>
      </w:r>
      <w:r w:rsidRPr="009C06D3">
        <w:rPr>
          <w:rFonts w:ascii="Times New Roman" w:eastAsia="Times New Roman" w:hAnsi="Times New Roman" w:cs="Times New Roman"/>
          <w:sz w:val="24"/>
          <w:szCs w:val="24"/>
          <w:lang w:eastAsia="es-CO"/>
        </w:rPr>
        <w:lastRenderedPageBreak/>
        <w:t>aplicable, con fundamento en las modificaciones introducidas al Estatuto Tributario por la Ley 1607 de 2012 reglamentado parcialmente por el Decreto 00099 de 2013.</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En dicho pronunciamiento doctrinal, se señala:</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 xml:space="preserve">De conformidad con el </w:t>
      </w:r>
      <w:hyperlink r:id="rId11" w:tooltip="Estatuto Tributario CETA" w:history="1">
        <w:r w:rsidRPr="009C06D3">
          <w:rPr>
            <w:rFonts w:ascii="Times New Roman" w:eastAsia="Times New Roman" w:hAnsi="Times New Roman" w:cs="Times New Roman"/>
            <w:i/>
            <w:iCs/>
            <w:color w:val="0089E1"/>
            <w:sz w:val="24"/>
            <w:szCs w:val="24"/>
            <w:lang w:eastAsia="es-CO"/>
          </w:rPr>
          <w:t>artículo 329</w:t>
        </w:r>
      </w:hyperlink>
      <w:r w:rsidRPr="009C06D3">
        <w:rPr>
          <w:rFonts w:ascii="Times New Roman" w:eastAsia="Times New Roman" w:hAnsi="Times New Roman" w:cs="Times New Roman"/>
          <w:i/>
          <w:iCs/>
          <w:sz w:val="24"/>
          <w:szCs w:val="24"/>
          <w:lang w:eastAsia="es-CO"/>
        </w:rPr>
        <w:t xml:space="preserve"> del Estatuto Tributario, las personas naturales residentes en el país se clasifican en una de las siguientes categorías tributarias: empleado, trabajador por cuenta propia y otros contribuyentes.</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1. Empleado</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r w:rsidRPr="009C06D3">
        <w:rPr>
          <w:rFonts w:ascii="Times New Roman" w:eastAsia="Times New Roman" w:hAnsi="Times New Roman" w:cs="Times New Roman"/>
          <w:i/>
          <w:iCs/>
          <w:sz w:val="24"/>
          <w:szCs w:val="24"/>
          <w:lang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2. Trabajador por cuenta propia</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3. Otros contribuyentes</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u w:val="single"/>
          <w:lang w:eastAsia="es-CO"/>
        </w:rPr>
      </w:pPr>
      <w:r w:rsidRPr="009C06D3">
        <w:rPr>
          <w:rFonts w:ascii="Times New Roman" w:eastAsia="Times New Roman" w:hAnsi="Times New Roman" w:cs="Times New Roman"/>
          <w:i/>
          <w:iCs/>
          <w:sz w:val="24"/>
          <w:szCs w:val="24"/>
          <w:u w:val="single"/>
          <w:lang w:eastAsia="es-CO"/>
        </w:rPr>
        <w:t xml:space="preserve">En materia de retención en la fuente por concepto de rentas de trabajo, con base en la interpretación armónica de los artículos </w:t>
      </w:r>
      <w:hyperlink r:id="rId12" w:tooltip="Estatuto Tributario CETA" w:history="1">
        <w:r w:rsidRPr="009C06D3">
          <w:rPr>
            <w:rFonts w:ascii="Times New Roman" w:eastAsia="Times New Roman" w:hAnsi="Times New Roman" w:cs="Times New Roman"/>
            <w:i/>
            <w:iCs/>
            <w:color w:val="0089E1"/>
            <w:sz w:val="24"/>
            <w:szCs w:val="24"/>
            <w:lang w:eastAsia="es-CO"/>
          </w:rPr>
          <w:t>383</w:t>
        </w:r>
      </w:hyperlink>
      <w:r w:rsidRPr="009C06D3">
        <w:rPr>
          <w:rFonts w:ascii="Times New Roman" w:eastAsia="Times New Roman" w:hAnsi="Times New Roman" w:cs="Times New Roman"/>
          <w:i/>
          <w:iCs/>
          <w:sz w:val="24"/>
          <w:szCs w:val="24"/>
          <w:u w:val="single"/>
          <w:lang w:eastAsia="es-CO"/>
        </w:rPr>
        <w:t xml:space="preserve"> y </w:t>
      </w:r>
      <w:hyperlink r:id="rId13" w:tooltip="Estatuto Tributario CETA" w:history="1">
        <w:r w:rsidRPr="009C06D3">
          <w:rPr>
            <w:rFonts w:ascii="Times New Roman" w:eastAsia="Times New Roman" w:hAnsi="Times New Roman" w:cs="Times New Roman"/>
            <w:i/>
            <w:iCs/>
            <w:color w:val="0089E1"/>
            <w:sz w:val="24"/>
            <w:szCs w:val="24"/>
            <w:lang w:eastAsia="es-CO"/>
          </w:rPr>
          <w:t>384</w:t>
        </w:r>
      </w:hyperlink>
      <w:r w:rsidRPr="009C06D3">
        <w:rPr>
          <w:rFonts w:ascii="Times New Roman" w:eastAsia="Times New Roman" w:hAnsi="Times New Roman" w:cs="Times New Roman"/>
          <w:i/>
          <w:iCs/>
          <w:sz w:val="24"/>
          <w:szCs w:val="24"/>
          <w:u w:val="single"/>
          <w:lang w:eastAsia="es-CO"/>
        </w:rPr>
        <w:t xml:space="preserve"> del Estatuto Tributario y del Decreto Reglamentario 00099 de 2013, se coligen las siguientes reglas:</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u w:val="single"/>
          <w:lang w:eastAsia="es-CO"/>
        </w:rPr>
      </w:pPr>
      <w:r w:rsidRPr="009C06D3">
        <w:rPr>
          <w:rFonts w:ascii="Times New Roman" w:eastAsia="Times New Roman" w:hAnsi="Times New Roman" w:cs="Times New Roman"/>
          <w:i/>
          <w:iCs/>
          <w:sz w:val="24"/>
          <w:szCs w:val="24"/>
          <w:u w:val="single"/>
          <w:lang w:eastAsia="es-CO"/>
        </w:rPr>
        <w:t>1. Retención en la fuente para personas naturales pertenecientes a la categoría de empleados.</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 xml:space="preserve">A los pagos o abonos en cuenta efectuados a las personas naturales residentes en el país, pertenecientes a la categoría de empleados les aplica a partir del 1° de enero de 2013, la tabla de retención en la fuente contenida en el </w:t>
      </w:r>
      <w:hyperlink r:id="rId14" w:tooltip="Estatuto Tributario CETA" w:history="1">
        <w:r w:rsidRPr="009C06D3">
          <w:rPr>
            <w:rFonts w:ascii="Times New Roman" w:eastAsia="Times New Roman" w:hAnsi="Times New Roman" w:cs="Times New Roman"/>
            <w:i/>
            <w:iCs/>
            <w:color w:val="0089E1"/>
            <w:sz w:val="24"/>
            <w:szCs w:val="24"/>
            <w:lang w:eastAsia="es-CO"/>
          </w:rPr>
          <w:t>artículo 383</w:t>
        </w:r>
      </w:hyperlink>
      <w:r w:rsidRPr="009C06D3">
        <w:rPr>
          <w:rFonts w:ascii="Times New Roman" w:eastAsia="Times New Roman" w:hAnsi="Times New Roman" w:cs="Times New Roman"/>
          <w:i/>
          <w:iCs/>
          <w:sz w:val="24"/>
          <w:szCs w:val="24"/>
          <w:lang w:eastAsia="es-CO"/>
        </w:rPr>
        <w:t xml:space="preserve"> del Estatuto Tributario reglamentado por el Decreto 00099 de 2013.</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15" w:tooltip="Estatuto Tributario CETA" w:history="1">
        <w:r w:rsidRPr="009C06D3">
          <w:rPr>
            <w:rFonts w:ascii="Times New Roman" w:eastAsia="Times New Roman" w:hAnsi="Times New Roman" w:cs="Times New Roman"/>
            <w:i/>
            <w:iCs/>
            <w:color w:val="0089E1"/>
            <w:sz w:val="24"/>
            <w:szCs w:val="24"/>
            <w:lang w:eastAsia="es-CO"/>
          </w:rPr>
          <w:t>artículo 383</w:t>
        </w:r>
      </w:hyperlink>
      <w:r w:rsidRPr="009C06D3">
        <w:rPr>
          <w:rFonts w:ascii="Times New Roman" w:eastAsia="Times New Roman" w:hAnsi="Times New Roman" w:cs="Times New Roman"/>
          <w:i/>
          <w:iCs/>
          <w:sz w:val="24"/>
          <w:szCs w:val="24"/>
          <w:lang w:eastAsia="es-CO"/>
        </w:rPr>
        <w:t xml:space="preserve"> y la tabla del </w:t>
      </w:r>
      <w:hyperlink r:id="rId16" w:tooltip="Estatuto Tributario CETA" w:history="1">
        <w:r w:rsidRPr="009C06D3">
          <w:rPr>
            <w:rFonts w:ascii="Times New Roman" w:eastAsia="Times New Roman" w:hAnsi="Times New Roman" w:cs="Times New Roman"/>
            <w:i/>
            <w:iCs/>
            <w:color w:val="0089E1"/>
            <w:sz w:val="24"/>
            <w:szCs w:val="24"/>
            <w:lang w:eastAsia="es-CO"/>
          </w:rPr>
          <w:t>artículo 384</w:t>
        </w:r>
      </w:hyperlink>
      <w:r w:rsidRPr="009C06D3">
        <w:rPr>
          <w:rFonts w:ascii="Times New Roman" w:eastAsia="Times New Roman" w:hAnsi="Times New Roman" w:cs="Times New Roman"/>
          <w:i/>
          <w:iCs/>
          <w:sz w:val="24"/>
          <w:szCs w:val="24"/>
          <w:lang w:eastAsia="es-CO"/>
        </w:rPr>
        <w:t xml:space="preserve"> del Estatuto Tributario.</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u w:val="single"/>
          <w:lang w:eastAsia="es-CO"/>
        </w:rPr>
      </w:pPr>
      <w:r w:rsidRPr="009C06D3">
        <w:rPr>
          <w:rFonts w:ascii="Times New Roman" w:eastAsia="Times New Roman" w:hAnsi="Times New Roman" w:cs="Times New Roman"/>
          <w:i/>
          <w:iCs/>
          <w:sz w:val="24"/>
          <w:szCs w:val="24"/>
          <w:u w:val="single"/>
          <w:lang w:eastAsia="es-CO"/>
        </w:rPr>
        <w:lastRenderedPageBreak/>
        <w:t>2. Retención en la fuente para personas naturales no pertenecientes a la categoría de empleados</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2.1. Pagos provenientes de una relación laboral</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w:t>
      </w: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u w:val="single"/>
          <w:lang w:eastAsia="es-CO"/>
        </w:rPr>
      </w:pPr>
      <w:r w:rsidRPr="009C06D3">
        <w:rPr>
          <w:rFonts w:ascii="Times New Roman" w:eastAsia="Times New Roman" w:hAnsi="Times New Roman" w:cs="Times New Roman"/>
          <w:i/>
          <w:iCs/>
          <w:sz w:val="24"/>
          <w:szCs w:val="24"/>
          <w:u w:val="single"/>
          <w:lang w:eastAsia="es-CO"/>
        </w:rPr>
        <w:t>2.2. Pagos o abonos en cuenta por concepto de honorarios, comisiones y servicios</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i/>
          <w:iCs/>
          <w:sz w:val="24"/>
          <w:szCs w:val="24"/>
          <w:u w:val="single"/>
          <w:lang w:eastAsia="es-CO"/>
        </w:rPr>
      </w:pPr>
      <w:r w:rsidRPr="009C06D3">
        <w:rPr>
          <w:rFonts w:ascii="Times New Roman" w:eastAsia="Times New Roman" w:hAnsi="Times New Roman" w:cs="Times New Roman"/>
          <w:i/>
          <w:iCs/>
          <w:sz w:val="24"/>
          <w:szCs w:val="24"/>
          <w:u w:val="single"/>
          <w:lang w:eastAsia="es-CO"/>
        </w:rPr>
        <w:t xml:space="preserve">Los pagos o abonos en cuenta por concepto de honorarios, comisiones y servicios efectuados a personas naturales residentes en el país no pertenecientes a la categoría de empleados, están sometidos a las tarifas de retención previstas en el </w:t>
      </w:r>
      <w:hyperlink r:id="rId17" w:tooltip="Estatuto Tributario CETA" w:history="1">
        <w:r w:rsidRPr="009C06D3">
          <w:rPr>
            <w:rFonts w:ascii="Times New Roman" w:eastAsia="Times New Roman" w:hAnsi="Times New Roman" w:cs="Times New Roman"/>
            <w:i/>
            <w:iCs/>
            <w:color w:val="0089E1"/>
            <w:sz w:val="24"/>
            <w:szCs w:val="24"/>
            <w:lang w:eastAsia="es-CO"/>
          </w:rPr>
          <w:t>artículo 392</w:t>
        </w:r>
      </w:hyperlink>
      <w:r w:rsidRPr="009C06D3">
        <w:rPr>
          <w:rFonts w:ascii="Times New Roman" w:eastAsia="Times New Roman" w:hAnsi="Times New Roman" w:cs="Times New Roman"/>
          <w:i/>
          <w:iCs/>
          <w:sz w:val="24"/>
          <w:szCs w:val="24"/>
          <w:u w:val="single"/>
          <w:lang w:eastAsia="es-CO"/>
        </w:rPr>
        <w:t xml:space="preserve"> del Estatuto Tributario en concordancia con el Decreto Reglamentario 260 de 2001.</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p>
    <w:p w:rsidR="005B40EF" w:rsidRPr="009C06D3" w:rsidRDefault="005B40EF" w:rsidP="005B40EF">
      <w:pPr>
        <w:spacing w:after="0" w:line="240" w:lineRule="auto"/>
        <w:ind w:left="284"/>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 xml:space="preserve">...” </w:t>
      </w:r>
      <w:r w:rsidRPr="009C06D3">
        <w:rPr>
          <w:rFonts w:ascii="Times New Roman" w:eastAsia="Times New Roman" w:hAnsi="Times New Roman" w:cs="Times New Roman"/>
          <w:sz w:val="24"/>
          <w:szCs w:val="24"/>
          <w:lang w:eastAsia="es-CO"/>
        </w:rPr>
        <w:t>(</w:t>
      </w:r>
      <w:proofErr w:type="gramStart"/>
      <w:r w:rsidRPr="009C06D3">
        <w:rPr>
          <w:rFonts w:ascii="Times New Roman" w:eastAsia="Times New Roman" w:hAnsi="Times New Roman" w:cs="Times New Roman"/>
          <w:sz w:val="24"/>
          <w:szCs w:val="24"/>
          <w:lang w:eastAsia="es-CO"/>
        </w:rPr>
        <w:t>subrayado</w:t>
      </w:r>
      <w:proofErr w:type="gramEnd"/>
      <w:r w:rsidRPr="009C06D3">
        <w:rPr>
          <w:rFonts w:ascii="Times New Roman" w:eastAsia="Times New Roman" w:hAnsi="Times New Roman" w:cs="Times New Roman"/>
          <w:sz w:val="24"/>
          <w:szCs w:val="24"/>
          <w:lang w:eastAsia="es-CO"/>
        </w:rPr>
        <w:t xml:space="preserve"> fuera de texto).</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En este orden de ideas, es preciso reiterar que a partir de la vigencia de la Ley 1607 de 2012, el régimen de retención en la fuente aplicable sobre los pagos o abonos en cuenta efectuados a las personas naturales residentes en el país que prestan servicios personales, dependerá de la categoría tributaria en la cual deban clasificarse de conformidad con el </w:t>
      </w:r>
      <w:hyperlink r:id="rId18" w:tooltip="Estatuto Tributario CETA" w:history="1">
        <w:r w:rsidRPr="009C06D3">
          <w:rPr>
            <w:rFonts w:ascii="Times New Roman" w:eastAsia="Times New Roman" w:hAnsi="Times New Roman" w:cs="Times New Roman"/>
            <w:color w:val="0089E1"/>
            <w:sz w:val="24"/>
            <w:szCs w:val="24"/>
            <w:lang w:eastAsia="es-CO"/>
          </w:rPr>
          <w:t>artículo 329</w:t>
        </w:r>
      </w:hyperlink>
      <w:r w:rsidRPr="009C06D3">
        <w:rPr>
          <w:rFonts w:ascii="Times New Roman" w:eastAsia="Times New Roman" w:hAnsi="Times New Roman" w:cs="Times New Roman"/>
          <w:sz w:val="24"/>
          <w:szCs w:val="24"/>
          <w:lang w:eastAsia="es-CO"/>
        </w:rPr>
        <w:t xml:space="preserve"> del Estatuto Tributario. Para mayor comprensión del tema remitimos fotocopia del oficio número 17857 del 26 de marzo de 2013.</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Así las cosas, si la persona natural residente en el país clasifica en la categoría tributaria de empleado, le aplica a partir del 1° de enero de 2013, la tabla de retención en la fuente contenida en el </w:t>
      </w:r>
      <w:hyperlink r:id="rId19" w:tooltip="Estatuto Tributario CETA" w:history="1">
        <w:r w:rsidRPr="009C06D3">
          <w:rPr>
            <w:rFonts w:ascii="Times New Roman" w:eastAsia="Times New Roman" w:hAnsi="Times New Roman" w:cs="Times New Roman"/>
            <w:color w:val="0089E1"/>
            <w:sz w:val="24"/>
            <w:szCs w:val="24"/>
            <w:lang w:eastAsia="es-CO"/>
          </w:rPr>
          <w:t>artículo 383</w:t>
        </w:r>
      </w:hyperlink>
      <w:r w:rsidRPr="009C06D3">
        <w:rPr>
          <w:rFonts w:ascii="Times New Roman" w:eastAsia="Times New Roman" w:hAnsi="Times New Roman" w:cs="Times New Roman"/>
          <w:sz w:val="24"/>
          <w:szCs w:val="24"/>
          <w:lang w:eastAsia="es-CO"/>
        </w:rPr>
        <w:t xml:space="preserve">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w:t>
      </w:r>
      <w:hyperlink r:id="rId20" w:tooltip="Estatuto Tributario CETA" w:history="1">
        <w:r w:rsidRPr="009C06D3">
          <w:rPr>
            <w:rFonts w:ascii="Times New Roman" w:eastAsia="Times New Roman" w:hAnsi="Times New Roman" w:cs="Times New Roman"/>
            <w:color w:val="0089E1"/>
            <w:sz w:val="24"/>
            <w:szCs w:val="24"/>
            <w:lang w:eastAsia="es-CO"/>
          </w:rPr>
          <w:t>artículo 383</w:t>
        </w:r>
      </w:hyperlink>
      <w:r w:rsidRPr="009C06D3">
        <w:rPr>
          <w:rFonts w:ascii="Times New Roman" w:eastAsia="Times New Roman" w:hAnsi="Times New Roman" w:cs="Times New Roman"/>
          <w:sz w:val="24"/>
          <w:szCs w:val="24"/>
          <w:lang w:eastAsia="es-CO"/>
        </w:rPr>
        <w:t xml:space="preserve"> y la tabla del </w:t>
      </w:r>
      <w:hyperlink r:id="rId21" w:tooltip="Estatuto Tributario CETA" w:history="1">
        <w:r w:rsidRPr="009C06D3">
          <w:rPr>
            <w:rFonts w:ascii="Times New Roman" w:eastAsia="Times New Roman" w:hAnsi="Times New Roman" w:cs="Times New Roman"/>
            <w:color w:val="0089E1"/>
            <w:sz w:val="24"/>
            <w:szCs w:val="24"/>
            <w:lang w:eastAsia="es-CO"/>
          </w:rPr>
          <w:t>artículo 384</w:t>
        </w:r>
      </w:hyperlink>
      <w:r w:rsidRPr="009C06D3">
        <w:rPr>
          <w:rFonts w:ascii="Times New Roman" w:eastAsia="Times New Roman" w:hAnsi="Times New Roman" w:cs="Times New Roman"/>
          <w:sz w:val="24"/>
          <w:szCs w:val="24"/>
          <w:lang w:eastAsia="es-CO"/>
        </w:rPr>
        <w:t xml:space="preserve"> del Estatuto Tributario.</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En este punto, es necesario advertir que la depuración de la base de retención en la fuente, difiere en función de la tabla que se aplique. Es decir, para la tabla del </w:t>
      </w:r>
      <w:hyperlink r:id="rId22" w:tooltip="Estatuto Tributario CETA" w:history="1">
        <w:r w:rsidRPr="009C06D3">
          <w:rPr>
            <w:rFonts w:ascii="Times New Roman" w:eastAsia="Times New Roman" w:hAnsi="Times New Roman" w:cs="Times New Roman"/>
            <w:color w:val="0089E1"/>
            <w:sz w:val="24"/>
            <w:szCs w:val="24"/>
            <w:lang w:eastAsia="es-CO"/>
          </w:rPr>
          <w:t>artículo 383</w:t>
        </w:r>
      </w:hyperlink>
      <w:r w:rsidRPr="009C06D3">
        <w:rPr>
          <w:rFonts w:ascii="Times New Roman" w:eastAsia="Times New Roman" w:hAnsi="Times New Roman" w:cs="Times New Roman"/>
          <w:sz w:val="24"/>
          <w:szCs w:val="24"/>
          <w:lang w:eastAsia="es-CO"/>
        </w:rPr>
        <w:t xml:space="preserve"> aplican las reglas de determinación de la retención en la fuente consagradas, entre otros, en los artículos </w:t>
      </w:r>
      <w:hyperlink r:id="rId23" w:tooltip="Estatuto Tributario CETA" w:history="1">
        <w:r w:rsidRPr="009C06D3">
          <w:rPr>
            <w:rFonts w:ascii="Times New Roman" w:eastAsia="Times New Roman" w:hAnsi="Times New Roman" w:cs="Times New Roman"/>
            <w:color w:val="0089E1"/>
            <w:sz w:val="24"/>
            <w:szCs w:val="24"/>
            <w:lang w:eastAsia="es-CO"/>
          </w:rPr>
          <w:t>126-1</w:t>
        </w:r>
      </w:hyperlink>
      <w:r w:rsidRPr="009C06D3">
        <w:rPr>
          <w:rFonts w:ascii="Times New Roman" w:eastAsia="Times New Roman" w:hAnsi="Times New Roman" w:cs="Times New Roman"/>
          <w:sz w:val="24"/>
          <w:szCs w:val="24"/>
          <w:lang w:eastAsia="es-CO"/>
        </w:rPr>
        <w:t xml:space="preserve">, </w:t>
      </w:r>
      <w:hyperlink r:id="rId24" w:tooltip="Estatuto Tributario CETA" w:history="1">
        <w:r w:rsidRPr="009C06D3">
          <w:rPr>
            <w:rFonts w:ascii="Times New Roman" w:eastAsia="Times New Roman" w:hAnsi="Times New Roman" w:cs="Times New Roman"/>
            <w:color w:val="0089E1"/>
            <w:sz w:val="24"/>
            <w:szCs w:val="24"/>
            <w:lang w:eastAsia="es-CO"/>
          </w:rPr>
          <w:t>126-4</w:t>
        </w:r>
      </w:hyperlink>
      <w:r w:rsidRPr="009C06D3">
        <w:rPr>
          <w:rFonts w:ascii="Times New Roman" w:eastAsia="Times New Roman" w:hAnsi="Times New Roman" w:cs="Times New Roman"/>
          <w:sz w:val="24"/>
          <w:szCs w:val="24"/>
          <w:lang w:eastAsia="es-CO"/>
        </w:rPr>
        <w:t xml:space="preserve"> y </w:t>
      </w:r>
      <w:hyperlink r:id="rId25" w:tooltip="Estatuto Tributario CETA" w:history="1">
        <w:r w:rsidRPr="009C06D3">
          <w:rPr>
            <w:rFonts w:ascii="Times New Roman" w:eastAsia="Times New Roman" w:hAnsi="Times New Roman" w:cs="Times New Roman"/>
            <w:color w:val="0089E1"/>
            <w:sz w:val="24"/>
            <w:szCs w:val="24"/>
            <w:lang w:eastAsia="es-CO"/>
          </w:rPr>
          <w:t>387</w:t>
        </w:r>
      </w:hyperlink>
      <w:r w:rsidRPr="009C06D3">
        <w:rPr>
          <w:rFonts w:ascii="Times New Roman" w:eastAsia="Times New Roman" w:hAnsi="Times New Roman" w:cs="Times New Roman"/>
          <w:sz w:val="24"/>
          <w:szCs w:val="24"/>
          <w:lang w:eastAsia="es-CO"/>
        </w:rPr>
        <w:t xml:space="preserve"> del Estatuto Tributario y en el artículo 2° del Decreto 0099 de 2013. En tanto que para la tabla del </w:t>
      </w:r>
      <w:hyperlink r:id="rId26" w:tooltip="Estatuto Tributario CETA" w:history="1">
        <w:r w:rsidRPr="009C06D3">
          <w:rPr>
            <w:rFonts w:ascii="Times New Roman" w:eastAsia="Times New Roman" w:hAnsi="Times New Roman" w:cs="Times New Roman"/>
            <w:color w:val="0089E1"/>
            <w:sz w:val="24"/>
            <w:szCs w:val="24"/>
            <w:lang w:eastAsia="es-CO"/>
          </w:rPr>
          <w:t>artículo 384</w:t>
        </w:r>
      </w:hyperlink>
      <w:r w:rsidRPr="009C06D3">
        <w:rPr>
          <w:rFonts w:ascii="Times New Roman" w:eastAsia="Times New Roman" w:hAnsi="Times New Roman" w:cs="Times New Roman"/>
          <w:sz w:val="24"/>
          <w:szCs w:val="24"/>
          <w:lang w:eastAsia="es-CO"/>
        </w:rPr>
        <w:t>, por disposición expresa del mismo artículo en concordancia con el artículo 3° del Decreto 0099 de 2013, se restan los aportes obligatorios al sistema general de seguridad social, a saber: salud, pensiones y riesgos laborales a cargo del empleado.</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 xml:space="preserve">Ahora bien, si la persona natural residente en el país no clasifica en la categoría tributaria de empleado, los pagos o abonos en cuenta efectuados por concepto de honorarios, comisiones y servicios están sometidos a las tarifas de retención previstas en el </w:t>
      </w:r>
      <w:hyperlink r:id="rId27" w:tooltip="Estatuto Tributario CETA" w:history="1">
        <w:r w:rsidRPr="009C06D3">
          <w:rPr>
            <w:rFonts w:ascii="Times New Roman" w:eastAsia="Times New Roman" w:hAnsi="Times New Roman" w:cs="Times New Roman"/>
            <w:color w:val="0089E1"/>
            <w:sz w:val="24"/>
            <w:szCs w:val="24"/>
            <w:lang w:eastAsia="es-CO"/>
          </w:rPr>
          <w:t>artículo 392</w:t>
        </w:r>
      </w:hyperlink>
      <w:r w:rsidRPr="009C06D3">
        <w:rPr>
          <w:rFonts w:ascii="Times New Roman" w:eastAsia="Times New Roman" w:hAnsi="Times New Roman" w:cs="Times New Roman"/>
          <w:sz w:val="24"/>
          <w:szCs w:val="24"/>
          <w:lang w:eastAsia="es-CO"/>
        </w:rPr>
        <w:t xml:space="preserve"> del Estatuto Tributario en concordancia con el Decreto Reglamentario 260 de 2001, de conformidad con lo dispuesto en el parágrafo 3° del artículo 1° del Decreto 0099 de 2013. </w:t>
      </w:r>
      <w:r w:rsidRPr="009C06D3">
        <w:rPr>
          <w:rFonts w:ascii="Times New Roman" w:eastAsia="Times New Roman" w:hAnsi="Times New Roman" w:cs="Times New Roman"/>
          <w:sz w:val="24"/>
          <w:szCs w:val="24"/>
          <w:lang w:eastAsia="es-CO"/>
        </w:rPr>
        <w:lastRenderedPageBreak/>
        <w:t xml:space="preserve">En tal evento aplican los factores de depuración de la base de retención en la fuente, expresamente señalados en los artículos </w:t>
      </w:r>
      <w:hyperlink r:id="rId28" w:tooltip="Estatuto Tributario CETA" w:history="1">
        <w:r w:rsidRPr="009C06D3">
          <w:rPr>
            <w:rFonts w:ascii="Times New Roman" w:eastAsia="Times New Roman" w:hAnsi="Times New Roman" w:cs="Times New Roman"/>
            <w:color w:val="0089E1"/>
            <w:sz w:val="24"/>
            <w:szCs w:val="24"/>
            <w:lang w:eastAsia="es-CO"/>
          </w:rPr>
          <w:t>126-1</w:t>
        </w:r>
      </w:hyperlink>
      <w:r w:rsidRPr="009C06D3">
        <w:rPr>
          <w:rFonts w:ascii="Times New Roman" w:eastAsia="Times New Roman" w:hAnsi="Times New Roman" w:cs="Times New Roman"/>
          <w:sz w:val="24"/>
          <w:szCs w:val="24"/>
          <w:lang w:eastAsia="es-CO"/>
        </w:rPr>
        <w:t xml:space="preserve"> y </w:t>
      </w:r>
      <w:hyperlink r:id="rId29" w:tooltip="Estatuto Tributario CETA" w:history="1">
        <w:r w:rsidRPr="009C06D3">
          <w:rPr>
            <w:rFonts w:ascii="Times New Roman" w:eastAsia="Times New Roman" w:hAnsi="Times New Roman" w:cs="Times New Roman"/>
            <w:color w:val="0089E1"/>
            <w:sz w:val="24"/>
            <w:szCs w:val="24"/>
            <w:lang w:eastAsia="es-CO"/>
          </w:rPr>
          <w:t>126-4</w:t>
        </w:r>
      </w:hyperlink>
      <w:r w:rsidRPr="009C06D3">
        <w:rPr>
          <w:rFonts w:ascii="Times New Roman" w:eastAsia="Times New Roman" w:hAnsi="Times New Roman" w:cs="Times New Roman"/>
          <w:sz w:val="24"/>
          <w:szCs w:val="24"/>
          <w:lang w:eastAsia="es-CO"/>
        </w:rPr>
        <w:t xml:space="preserve"> del Estatuto Tributario y en el artículo 4° del Decreto Reglamentario 2271 de 2009, es decir: el valor total del aporte que deba efectuar al Sistema General de Seguridad Social en Salud, los aportes obligatorios y voluntarios a los fondos de pensiones, y las sumas que destine al ahorro a largo plazo en las cuentas denominadas “Ahorro para el Fomento a la Construcción, AFC”.</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No sobra advertir que el artículo 1° del Decreto Reglamentario 2499 del 6 de diciembre de 2012, al que alude su consulta, modificó el parágrafo del artículo 1° del Decreto Reglamentario 260 de 2001.</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De manera atenta le informamos que los demás temas consultados serán objeto del reglamento que sobre retención en la fuente prepara el Gobierno Nacional.</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Atentamente,</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b/>
          <w:sz w:val="24"/>
          <w:szCs w:val="24"/>
          <w:lang w:eastAsia="es-CO"/>
        </w:rPr>
      </w:pPr>
      <w:r w:rsidRPr="009C06D3">
        <w:rPr>
          <w:rFonts w:ascii="Times New Roman" w:eastAsia="Times New Roman" w:hAnsi="Times New Roman" w:cs="Times New Roman"/>
          <w:b/>
          <w:sz w:val="24"/>
          <w:szCs w:val="24"/>
          <w:lang w:eastAsia="es-CO"/>
        </w:rPr>
        <w:t>La Directora de Gestión Jurídica,</w:t>
      </w:r>
    </w:p>
    <w:p w:rsidR="005B40EF" w:rsidRPr="009C06D3" w:rsidRDefault="005B40EF" w:rsidP="005B40EF">
      <w:pPr>
        <w:spacing w:after="0" w:line="240" w:lineRule="auto"/>
        <w:jc w:val="right"/>
        <w:rPr>
          <w:rFonts w:ascii="Times New Roman" w:eastAsia="Times New Roman" w:hAnsi="Times New Roman" w:cs="Times New Roman"/>
          <w:b/>
          <w:i/>
          <w:iCs/>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i/>
          <w:iCs/>
          <w:sz w:val="24"/>
          <w:szCs w:val="24"/>
          <w:lang w:eastAsia="es-CO"/>
        </w:rPr>
        <w:t>Isabel Cristina Garcés Sánchez.</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r w:rsidRPr="009C06D3">
        <w:rPr>
          <w:rFonts w:ascii="Times New Roman" w:eastAsia="Times New Roman" w:hAnsi="Times New Roman" w:cs="Times New Roman"/>
          <w:sz w:val="24"/>
          <w:szCs w:val="24"/>
          <w:lang w:eastAsia="es-CO"/>
        </w:rPr>
        <w:t>Anexo: Oficio 017857 de 2013</w:t>
      </w:r>
    </w:p>
    <w:p w:rsidR="005B40EF" w:rsidRPr="009C06D3" w:rsidRDefault="005B40EF" w:rsidP="005B40EF">
      <w:pPr>
        <w:spacing w:after="0" w:line="240" w:lineRule="auto"/>
        <w:jc w:val="both"/>
        <w:rPr>
          <w:rFonts w:ascii="Times New Roman" w:eastAsia="Times New Roman" w:hAnsi="Times New Roman" w:cs="Times New Roman"/>
          <w:sz w:val="24"/>
          <w:szCs w:val="24"/>
          <w:lang w:eastAsia="es-CO"/>
        </w:rPr>
      </w:pPr>
    </w:p>
    <w:p w:rsidR="005B40EF" w:rsidRPr="009C06D3" w:rsidRDefault="005B40EF" w:rsidP="005B40EF">
      <w:pPr>
        <w:spacing w:after="0" w:line="240" w:lineRule="auto"/>
        <w:jc w:val="both"/>
        <w:rPr>
          <w:rFonts w:ascii="Times New Roman" w:eastAsia="Times New Roman" w:hAnsi="Times New Roman" w:cs="Times New Roman"/>
          <w:b/>
          <w:sz w:val="24"/>
          <w:szCs w:val="24"/>
          <w:lang w:eastAsia="es-CO"/>
        </w:rPr>
      </w:pPr>
      <w:r w:rsidRPr="009C06D3">
        <w:rPr>
          <w:rFonts w:ascii="Times New Roman" w:eastAsia="Times New Roman" w:hAnsi="Times New Roman" w:cs="Times New Roman"/>
          <w:b/>
          <w:sz w:val="24"/>
          <w:szCs w:val="24"/>
          <w:lang w:eastAsia="es-CO"/>
        </w:rPr>
        <w:t>Publicado en D.O. 48.821 del 14 de junio de 2013.</w:t>
      </w:r>
    </w:p>
    <w:p w:rsidR="005B40EF" w:rsidRPr="009C06D3" w:rsidRDefault="005B40EF" w:rsidP="005B40EF">
      <w:pPr>
        <w:rPr>
          <w:rFonts w:ascii="Times New Roman" w:hAnsi="Times New Roman" w:cs="Times New Roman"/>
          <w:sz w:val="24"/>
          <w:szCs w:val="24"/>
        </w:rPr>
      </w:pPr>
      <w:r w:rsidRPr="009C06D3">
        <w:rPr>
          <w:rFonts w:ascii="Times New Roman" w:hAnsi="Times New Roman" w:cs="Times New Roman"/>
          <w:sz w:val="24"/>
          <w:szCs w:val="24"/>
        </w:rPr>
        <w:t>________________________________________________________________________________</w:t>
      </w:r>
    </w:p>
    <w:p w:rsidR="00F30693" w:rsidRPr="009C06D3" w:rsidRDefault="00F30693" w:rsidP="009866FF">
      <w:pPr>
        <w:spacing w:after="0" w:line="240" w:lineRule="auto"/>
        <w:jc w:val="both"/>
        <w:rPr>
          <w:rFonts w:ascii="Times New Roman" w:hAnsi="Times New Roman" w:cs="Times New Roman"/>
          <w:sz w:val="24"/>
          <w:szCs w:val="24"/>
        </w:rPr>
      </w:pPr>
    </w:p>
    <w:p w:rsidR="009866FF" w:rsidRPr="009C06D3" w:rsidRDefault="009866FF">
      <w:pPr>
        <w:spacing w:after="0" w:line="240" w:lineRule="auto"/>
        <w:jc w:val="both"/>
        <w:rPr>
          <w:rFonts w:ascii="Times New Roman" w:hAnsi="Times New Roman" w:cs="Times New Roman"/>
          <w:sz w:val="24"/>
          <w:szCs w:val="24"/>
        </w:rPr>
      </w:pPr>
    </w:p>
    <w:p w:rsidR="00663EE0" w:rsidRPr="009C06D3" w:rsidRDefault="00663EE0">
      <w:pPr>
        <w:spacing w:after="0" w:line="240" w:lineRule="auto"/>
        <w:jc w:val="both"/>
        <w:rPr>
          <w:rFonts w:ascii="Times New Roman" w:hAnsi="Times New Roman" w:cs="Times New Roman"/>
          <w:sz w:val="24"/>
          <w:szCs w:val="24"/>
        </w:rPr>
      </w:pPr>
    </w:p>
    <w:sectPr w:rsidR="00663EE0" w:rsidRPr="009C0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FF"/>
    <w:rsid w:val="000B6D2B"/>
    <w:rsid w:val="002E2205"/>
    <w:rsid w:val="005B40EF"/>
    <w:rsid w:val="00615FD8"/>
    <w:rsid w:val="00663EE0"/>
    <w:rsid w:val="009866FF"/>
    <w:rsid w:val="009C06D3"/>
    <w:rsid w:val="00A94C36"/>
    <w:rsid w:val="00F30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477" TargetMode="External"/><Relationship Id="rId3" Type="http://schemas.openxmlformats.org/officeDocument/2006/relationships/settings" Target="settings.xml"/><Relationship Id="rId21" Type="http://schemas.openxmlformats.org/officeDocument/2006/relationships/hyperlink" Target="http://www.ceta.org.co/html/vista_de_un_articulo.asp?Norma=477"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86" TargetMode="External"/><Relationship Id="rId25" Type="http://schemas.openxmlformats.org/officeDocument/2006/relationships/hyperlink" Target="http://www.ceta.org.co/html/vista_de_un_articulo.asp?Norma=48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186"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186"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183" TargetMode="External"/><Relationship Id="rId28"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7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6" TargetMode="External"/><Relationship Id="rId27" Type="http://schemas.openxmlformats.org/officeDocument/2006/relationships/hyperlink" Target="http://www.ceta.org.co/html/vista_de_un_articulo.asp?Norma=486"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1966</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2013-06-19T00:17:00Z</dcterms:created>
  <dcterms:modified xsi:type="dcterms:W3CDTF">2013-07-22T02:24:00Z</dcterms:modified>
</cp:coreProperties>
</file>